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07BA7" w14:textId="35DA7697" w:rsidR="000032F4" w:rsidRPr="00950E1F" w:rsidRDefault="00570B5F">
      <w:pPr>
        <w:rPr>
          <w:b/>
          <w:color w:val="1F3864" w:themeColor="accent1" w:themeShade="80"/>
          <w:sz w:val="28"/>
        </w:rPr>
      </w:pPr>
      <w:bookmarkStart w:id="0" w:name="_GoBack"/>
      <w:bookmarkEnd w:id="0"/>
      <w:r w:rsidRPr="00950E1F">
        <w:rPr>
          <w:b/>
          <w:color w:val="1F3864" w:themeColor="accent1" w:themeShade="80"/>
          <w:sz w:val="28"/>
        </w:rPr>
        <w:t>Information for applicants</w:t>
      </w:r>
    </w:p>
    <w:p w14:paraId="52FD022D" w14:textId="77777777" w:rsidR="000032F4" w:rsidRDefault="000032F4"/>
    <w:p w14:paraId="7CBB4ED4" w14:textId="19043F4C" w:rsidR="00570B5F" w:rsidRDefault="00570B5F">
      <w:r>
        <w:t xml:space="preserve">Yanga (thankyou) for enquiring about Noongar language and its use. The Noongar </w:t>
      </w:r>
      <w:r w:rsidR="006B35AD">
        <w:t xml:space="preserve">Boodjar Language Centre </w:t>
      </w:r>
      <w:r>
        <w:t xml:space="preserve">values and supports the use of Noongar </w:t>
      </w:r>
      <w:r w:rsidR="006B35AD">
        <w:t xml:space="preserve">language </w:t>
      </w:r>
      <w:r>
        <w:t>and seeks to work with applicants to ensure that it is used in a suitable cultural context and for an appropriate purpose.</w:t>
      </w:r>
    </w:p>
    <w:p w14:paraId="38CC087D" w14:textId="77777777" w:rsidR="00D96CC7" w:rsidRDefault="00D96CC7"/>
    <w:p w14:paraId="066E656D" w14:textId="6C6E4B83" w:rsidR="00D96CC7" w:rsidRDefault="00D96CC7">
      <w:r>
        <w:t xml:space="preserve">The purpose of the Noongar Language Centre is to enhance the </w:t>
      </w:r>
      <w:r w:rsidR="006B35AD">
        <w:t>long-term</w:t>
      </w:r>
      <w:r>
        <w:t xml:space="preserve"> wellbeing o</w:t>
      </w:r>
      <w:r w:rsidR="006B35AD">
        <w:t>f the</w:t>
      </w:r>
      <w:r>
        <w:t xml:space="preserve"> Noongar </w:t>
      </w:r>
      <w:r w:rsidR="006B35AD">
        <w:t>community</w:t>
      </w:r>
      <w:r>
        <w:t xml:space="preserve"> by:</w:t>
      </w:r>
    </w:p>
    <w:p w14:paraId="5435BB0C" w14:textId="77777777" w:rsidR="00D96CC7" w:rsidRDefault="00D96CC7"/>
    <w:p w14:paraId="2C559AE5" w14:textId="77777777" w:rsidR="00D96CC7" w:rsidRDefault="00D96CC7" w:rsidP="00D96CC7">
      <w:pPr>
        <w:pStyle w:val="ListParagraph"/>
        <w:numPr>
          <w:ilvl w:val="0"/>
          <w:numId w:val="1"/>
        </w:numPr>
      </w:pPr>
      <w:r>
        <w:t>Fostering the use of Noongar on regular or daily basis within the Noongar community; and</w:t>
      </w:r>
    </w:p>
    <w:p w14:paraId="6B240D5E" w14:textId="2F9F3FA2" w:rsidR="00D96CC7" w:rsidRDefault="00D96CC7" w:rsidP="00D96CC7">
      <w:pPr>
        <w:pStyle w:val="ListParagraph"/>
        <w:numPr>
          <w:ilvl w:val="0"/>
          <w:numId w:val="1"/>
        </w:numPr>
      </w:pPr>
      <w:r>
        <w:t>Raising the profile and status of the Noongar community through increased use of Noongar in schools, the wider community, on signage</w:t>
      </w:r>
      <w:r w:rsidR="00055CA9">
        <w:t>, in public venues and at public gatherings.</w:t>
      </w:r>
    </w:p>
    <w:p w14:paraId="156568C4" w14:textId="77777777" w:rsidR="00846071" w:rsidRDefault="00846071" w:rsidP="00055CA9">
      <w:pPr>
        <w:ind w:left="360"/>
      </w:pPr>
    </w:p>
    <w:p w14:paraId="0B58FB3A" w14:textId="78C0BED2" w:rsidR="00055CA9" w:rsidRDefault="00055CA9" w:rsidP="00055CA9">
      <w:pPr>
        <w:ind w:left="360"/>
      </w:pPr>
      <w:r>
        <w:t>The process of gaining permission to use a Noongar word or phrase for public use is followed by these steps.</w:t>
      </w:r>
    </w:p>
    <w:p w14:paraId="50540A9C" w14:textId="4327D937" w:rsidR="00055CA9" w:rsidRDefault="00055CA9" w:rsidP="00055CA9">
      <w:pPr>
        <w:ind w:left="360"/>
      </w:pPr>
    </w:p>
    <w:p w14:paraId="6AC4E4F3" w14:textId="791BC990" w:rsidR="00055CA9" w:rsidRDefault="00055CA9" w:rsidP="00055CA9">
      <w:pPr>
        <w:pStyle w:val="ListParagraph"/>
        <w:numPr>
          <w:ilvl w:val="0"/>
          <w:numId w:val="3"/>
        </w:numPr>
      </w:pPr>
      <w:r>
        <w:t xml:space="preserve">Complete a Noongar usage/activity request form. You can download a copy from the Noongar Boodjar website or pick one up from the office. On completion, email the form to </w:t>
      </w:r>
      <w:hyperlink r:id="rId7" w:history="1">
        <w:r w:rsidRPr="00815E53">
          <w:rPr>
            <w:rStyle w:val="Hyperlink"/>
          </w:rPr>
          <w:t>admin@nbalc.org.au</w:t>
        </w:r>
      </w:hyperlink>
      <w:r>
        <w:t xml:space="preserve"> or return it to the Noongar Boodjar office.</w:t>
      </w:r>
    </w:p>
    <w:p w14:paraId="3A108ECD" w14:textId="6C8B0BB4" w:rsidR="00055CA9" w:rsidRDefault="00055CA9" w:rsidP="00055CA9">
      <w:pPr>
        <w:pStyle w:val="ListParagraph"/>
        <w:numPr>
          <w:ilvl w:val="0"/>
          <w:numId w:val="3"/>
        </w:numPr>
      </w:pPr>
      <w:r>
        <w:t>Following a preliminary assessment by staff from the language centre, applicants will be notified of the process, time frame and costs involved to respond to the request.</w:t>
      </w:r>
    </w:p>
    <w:p w14:paraId="2D4CEC62" w14:textId="50EF73FF" w:rsidR="00055CA9" w:rsidRDefault="00055CA9" w:rsidP="00055CA9">
      <w:pPr>
        <w:pStyle w:val="ListParagraph"/>
        <w:numPr>
          <w:ilvl w:val="0"/>
          <w:numId w:val="3"/>
        </w:numPr>
      </w:pPr>
      <w:r>
        <w:t xml:space="preserve">On completion of the request, it will be tabled at </w:t>
      </w:r>
      <w:r w:rsidR="006B35AD">
        <w:t xml:space="preserve">a </w:t>
      </w:r>
      <w:r>
        <w:t xml:space="preserve">meeting of Noongar Boodjar staff which will meet </w:t>
      </w:r>
      <w:r w:rsidR="006B35AD">
        <w:t xml:space="preserve">on a </w:t>
      </w:r>
      <w:r>
        <w:t>fortnightly basis, for review.</w:t>
      </w:r>
    </w:p>
    <w:p w14:paraId="4E2BAB1F" w14:textId="4724BCD1" w:rsidR="00055CA9" w:rsidRDefault="00055CA9" w:rsidP="00055CA9">
      <w:pPr>
        <w:pStyle w:val="ListParagraph"/>
        <w:numPr>
          <w:ilvl w:val="0"/>
          <w:numId w:val="3"/>
        </w:numPr>
      </w:pPr>
      <w:r>
        <w:t>Subject to the nature of the request</w:t>
      </w:r>
      <w:r w:rsidR="00083061">
        <w:t>, Noongar Boodjar may refer it on the appropriate clan for advice.</w:t>
      </w:r>
    </w:p>
    <w:p w14:paraId="2C82A6C1" w14:textId="5D1FBB2F" w:rsidR="00083061" w:rsidRDefault="006B35AD" w:rsidP="00055CA9">
      <w:pPr>
        <w:pStyle w:val="ListParagraph"/>
        <w:numPr>
          <w:ilvl w:val="0"/>
          <w:numId w:val="3"/>
        </w:numPr>
      </w:pPr>
      <w:r>
        <w:t>A letter will be forwarded on to the applicant</w:t>
      </w:r>
      <w:r w:rsidR="0068511D">
        <w:t xml:space="preserve"> to inform them of the Noongar Boodjar decision. This decision of Noongar Boodjar is final.</w:t>
      </w:r>
    </w:p>
    <w:p w14:paraId="255CCFF2" w14:textId="0C737B1F" w:rsidR="0068511D" w:rsidRDefault="0068511D" w:rsidP="00055CA9">
      <w:pPr>
        <w:pStyle w:val="ListParagraph"/>
        <w:numPr>
          <w:ilvl w:val="0"/>
          <w:numId w:val="3"/>
        </w:numPr>
      </w:pPr>
      <w:r>
        <w:t>If a license agreement is required, negotiations between N</w:t>
      </w:r>
      <w:r w:rsidR="009F422F">
        <w:t xml:space="preserve">oongar </w:t>
      </w:r>
      <w:r>
        <w:t>B</w:t>
      </w:r>
      <w:r w:rsidR="009F422F">
        <w:t>oodjar</w:t>
      </w:r>
      <w:r>
        <w:t xml:space="preserve"> and the applicant will commence once the decision has been communicated.</w:t>
      </w:r>
    </w:p>
    <w:p w14:paraId="3A4FEED6" w14:textId="77777777" w:rsidR="00043A53" w:rsidRDefault="00043A53" w:rsidP="00043A53"/>
    <w:p w14:paraId="76DF63DF" w14:textId="4B5295F6" w:rsidR="00043A53" w:rsidRDefault="00043A53" w:rsidP="00043A53">
      <w:r>
        <w:t>It should be noted that this process may take up to a month.</w:t>
      </w:r>
    </w:p>
    <w:p w14:paraId="3EB89C57" w14:textId="77777777" w:rsidR="00043A53" w:rsidRDefault="00043A53" w:rsidP="00043A53"/>
    <w:p w14:paraId="62331147" w14:textId="79FC6B66" w:rsidR="00043A53" w:rsidRDefault="00043A53" w:rsidP="00043A53">
      <w:r>
        <w:t>Applicants should note that subject of complexity of their request, this service may be provided on a fee for service basis. On receipt of an application, staff from N</w:t>
      </w:r>
      <w:r w:rsidR="009F422F">
        <w:t xml:space="preserve">oongar </w:t>
      </w:r>
      <w:r>
        <w:t>B</w:t>
      </w:r>
      <w:r w:rsidR="009F422F">
        <w:t>oodjar</w:t>
      </w:r>
      <w:r>
        <w:t xml:space="preserve"> will conduct a preliminary assessment of the request and subsequently, advise the applicant of the process. </w:t>
      </w:r>
    </w:p>
    <w:p w14:paraId="6E5B79DE" w14:textId="465F3668" w:rsidR="00043A53" w:rsidRDefault="00043A53" w:rsidP="00043A53"/>
    <w:p w14:paraId="4DB7036E" w14:textId="15D4543B" w:rsidR="00043A53" w:rsidRDefault="00043A53" w:rsidP="00043A53">
      <w:r>
        <w:t xml:space="preserve">Further, a license </w:t>
      </w:r>
      <w:r w:rsidR="00793E12">
        <w:t xml:space="preserve">(MOU) </w:t>
      </w:r>
      <w:r>
        <w:t>agreement may apply if the request s being used for commercial or profitable purposes</w:t>
      </w:r>
      <w:r w:rsidR="004F4DDC">
        <w:t>.</w:t>
      </w:r>
    </w:p>
    <w:p w14:paraId="2A205BA9" w14:textId="366925C2" w:rsidR="004F4DDC" w:rsidRDefault="004F4DDC" w:rsidP="00043A53"/>
    <w:p w14:paraId="7ADA4243" w14:textId="1ADA4034" w:rsidR="004F4DDC" w:rsidRDefault="004F4DDC" w:rsidP="004F4DDC">
      <w:pPr>
        <w:jc w:val="center"/>
      </w:pPr>
      <w:r>
        <w:t>Yanga. Boorda</w:t>
      </w:r>
    </w:p>
    <w:p w14:paraId="6599B40C" w14:textId="6D54A0E3" w:rsidR="00450779" w:rsidRDefault="004F4DDC" w:rsidP="000032F4">
      <w:pPr>
        <w:jc w:val="center"/>
      </w:pPr>
      <w:r>
        <w:t>(Thank you and farewell)</w:t>
      </w:r>
    </w:p>
    <w:p w14:paraId="62754898" w14:textId="64EF9418" w:rsidR="00793E12" w:rsidRDefault="00450779" w:rsidP="00450779">
      <w:r>
        <w:lastRenderedPageBreak/>
        <w:t xml:space="preserve">Enquiries </w:t>
      </w:r>
      <w:r w:rsidR="00793E12">
        <w:t xml:space="preserve"> </w:t>
      </w:r>
      <w:r>
        <w:t xml:space="preserve">can </w:t>
      </w:r>
      <w:r w:rsidR="00793E12">
        <w:t xml:space="preserve"> </w:t>
      </w:r>
      <w:r>
        <w:t xml:space="preserve">be </w:t>
      </w:r>
      <w:r w:rsidR="00793E12">
        <w:t xml:space="preserve"> </w:t>
      </w:r>
      <w:r>
        <w:t xml:space="preserve">directed </w:t>
      </w:r>
      <w:r w:rsidR="00793E12">
        <w:t xml:space="preserve"> </w:t>
      </w:r>
      <w:r>
        <w:t xml:space="preserve">to </w:t>
      </w:r>
      <w:r w:rsidR="00793E12">
        <w:t xml:space="preserve"> </w:t>
      </w:r>
      <w:r>
        <w:t xml:space="preserve">the </w:t>
      </w:r>
      <w:r w:rsidR="00793E12">
        <w:t xml:space="preserve"> </w:t>
      </w:r>
      <w:r>
        <w:t xml:space="preserve">Noongar </w:t>
      </w:r>
      <w:r w:rsidR="00793E12">
        <w:t xml:space="preserve"> </w:t>
      </w:r>
      <w:r>
        <w:t xml:space="preserve">Boodjar </w:t>
      </w:r>
      <w:r w:rsidR="00793E12">
        <w:t xml:space="preserve"> </w:t>
      </w:r>
      <w:r>
        <w:t xml:space="preserve">Language </w:t>
      </w:r>
      <w:r w:rsidR="00793E12">
        <w:t xml:space="preserve"> </w:t>
      </w:r>
      <w:r>
        <w:t xml:space="preserve">Centre </w:t>
      </w:r>
      <w:r w:rsidR="00793E12">
        <w:t xml:space="preserve"> </w:t>
      </w:r>
      <w:r>
        <w:t>on</w:t>
      </w:r>
      <w:r w:rsidR="009F422F">
        <w:t xml:space="preserve"> </w:t>
      </w:r>
      <w:r w:rsidR="00793E12">
        <w:t xml:space="preserve"> </w:t>
      </w:r>
      <w:r w:rsidR="009F422F">
        <w:t xml:space="preserve">9350 5026 </w:t>
      </w:r>
      <w:r>
        <w:t>or</w:t>
      </w:r>
      <w:r w:rsidR="00793E12">
        <w:t xml:space="preserve"> </w:t>
      </w:r>
    </w:p>
    <w:p w14:paraId="2A7FD6F7" w14:textId="486ED68B" w:rsidR="00450779" w:rsidRDefault="00793E12" w:rsidP="00450779">
      <w:pPr>
        <w:rPr>
          <w:rStyle w:val="Hyperlink"/>
        </w:rPr>
      </w:pPr>
      <w:r>
        <w:t xml:space="preserve">0484 330 020 </w:t>
      </w:r>
      <w:r w:rsidR="00450779">
        <w:t xml:space="preserve">by email </w:t>
      </w:r>
      <w:hyperlink r:id="rId8" w:history="1">
        <w:r w:rsidR="00450779" w:rsidRPr="00815E53">
          <w:rPr>
            <w:rStyle w:val="Hyperlink"/>
          </w:rPr>
          <w:t>admin@nbalc.org.au</w:t>
        </w:r>
      </w:hyperlink>
      <w:r w:rsidR="00450779">
        <w:rPr>
          <w:rStyle w:val="Hyperlink"/>
        </w:rPr>
        <w:t xml:space="preserve"> </w:t>
      </w:r>
    </w:p>
    <w:p w14:paraId="61585BCB" w14:textId="77777777" w:rsidR="00450779" w:rsidRDefault="00450779" w:rsidP="00450779">
      <w:pPr>
        <w:rPr>
          <w:rStyle w:val="Hyperlink"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2483"/>
        <w:gridCol w:w="6820"/>
      </w:tblGrid>
      <w:tr w:rsidR="00450779" w14:paraId="1BEAB865" w14:textId="77777777" w:rsidTr="00846071">
        <w:trPr>
          <w:trHeight w:val="474"/>
        </w:trPr>
        <w:tc>
          <w:tcPr>
            <w:tcW w:w="2483" w:type="dxa"/>
          </w:tcPr>
          <w:p w14:paraId="0F0D434B" w14:textId="270D4DCE" w:rsidR="00450779" w:rsidRPr="00846071" w:rsidRDefault="00450779" w:rsidP="00450779">
            <w:pPr>
              <w:rPr>
                <w:sz w:val="22"/>
              </w:rPr>
            </w:pPr>
            <w:r w:rsidRPr="00846071">
              <w:rPr>
                <w:sz w:val="22"/>
              </w:rPr>
              <w:t>Contact name</w:t>
            </w:r>
          </w:p>
        </w:tc>
        <w:tc>
          <w:tcPr>
            <w:tcW w:w="6820" w:type="dxa"/>
          </w:tcPr>
          <w:p w14:paraId="0ADB58CF" w14:textId="77777777" w:rsidR="00450779" w:rsidRDefault="00450779" w:rsidP="00450779"/>
        </w:tc>
      </w:tr>
      <w:tr w:rsidR="00450779" w14:paraId="4A151BDD" w14:textId="77777777" w:rsidTr="00846071">
        <w:trPr>
          <w:trHeight w:val="455"/>
        </w:trPr>
        <w:tc>
          <w:tcPr>
            <w:tcW w:w="2483" w:type="dxa"/>
          </w:tcPr>
          <w:p w14:paraId="16B0C134" w14:textId="3C0A5E0E" w:rsidR="00450779" w:rsidRPr="00846071" w:rsidRDefault="00450779" w:rsidP="00450779">
            <w:pPr>
              <w:rPr>
                <w:sz w:val="22"/>
              </w:rPr>
            </w:pPr>
            <w:r w:rsidRPr="00846071">
              <w:rPr>
                <w:sz w:val="22"/>
              </w:rPr>
              <w:t xml:space="preserve">Email </w:t>
            </w:r>
          </w:p>
        </w:tc>
        <w:tc>
          <w:tcPr>
            <w:tcW w:w="6820" w:type="dxa"/>
          </w:tcPr>
          <w:p w14:paraId="15F09872" w14:textId="77777777" w:rsidR="00450779" w:rsidRDefault="00450779" w:rsidP="00450779"/>
        </w:tc>
      </w:tr>
      <w:tr w:rsidR="00450779" w14:paraId="4085290D" w14:textId="77777777" w:rsidTr="00846071">
        <w:trPr>
          <w:trHeight w:val="474"/>
        </w:trPr>
        <w:tc>
          <w:tcPr>
            <w:tcW w:w="2483" w:type="dxa"/>
          </w:tcPr>
          <w:p w14:paraId="26DACDF2" w14:textId="30E54CC8" w:rsidR="00450779" w:rsidRPr="00846071" w:rsidRDefault="00450779" w:rsidP="00450779">
            <w:pPr>
              <w:rPr>
                <w:sz w:val="22"/>
              </w:rPr>
            </w:pPr>
            <w:r w:rsidRPr="00846071">
              <w:rPr>
                <w:sz w:val="22"/>
              </w:rPr>
              <w:t xml:space="preserve">Address </w:t>
            </w:r>
          </w:p>
        </w:tc>
        <w:tc>
          <w:tcPr>
            <w:tcW w:w="6820" w:type="dxa"/>
          </w:tcPr>
          <w:p w14:paraId="331B7C88" w14:textId="77777777" w:rsidR="00450779" w:rsidRDefault="00450779" w:rsidP="00450779"/>
        </w:tc>
      </w:tr>
      <w:tr w:rsidR="00450779" w14:paraId="343B961E" w14:textId="77777777" w:rsidTr="00846071">
        <w:trPr>
          <w:trHeight w:val="474"/>
        </w:trPr>
        <w:tc>
          <w:tcPr>
            <w:tcW w:w="2483" w:type="dxa"/>
          </w:tcPr>
          <w:p w14:paraId="4F84A1AD" w14:textId="311839B7" w:rsidR="00450779" w:rsidRPr="00846071" w:rsidRDefault="00450779" w:rsidP="00450779">
            <w:pPr>
              <w:rPr>
                <w:sz w:val="22"/>
              </w:rPr>
            </w:pPr>
            <w:r w:rsidRPr="00846071">
              <w:rPr>
                <w:sz w:val="22"/>
              </w:rPr>
              <w:t xml:space="preserve">Telephone </w:t>
            </w:r>
          </w:p>
        </w:tc>
        <w:tc>
          <w:tcPr>
            <w:tcW w:w="6820" w:type="dxa"/>
          </w:tcPr>
          <w:p w14:paraId="2E3B4E67" w14:textId="77777777" w:rsidR="00450779" w:rsidRDefault="00450779" w:rsidP="00450779"/>
        </w:tc>
      </w:tr>
      <w:tr w:rsidR="00450779" w14:paraId="38CAAF3A" w14:textId="77777777" w:rsidTr="00846071">
        <w:trPr>
          <w:trHeight w:val="2147"/>
        </w:trPr>
        <w:tc>
          <w:tcPr>
            <w:tcW w:w="2483" w:type="dxa"/>
          </w:tcPr>
          <w:p w14:paraId="6CFAC86C" w14:textId="0F2FF9AC" w:rsidR="00450779" w:rsidRPr="00846071" w:rsidRDefault="00450779" w:rsidP="00450779">
            <w:pPr>
              <w:rPr>
                <w:sz w:val="22"/>
              </w:rPr>
            </w:pPr>
            <w:r w:rsidRPr="00846071">
              <w:rPr>
                <w:sz w:val="22"/>
              </w:rPr>
              <w:t>Applicant information (i.e. Private company, Government agency, not-for-profit organisation)</w:t>
            </w:r>
          </w:p>
        </w:tc>
        <w:tc>
          <w:tcPr>
            <w:tcW w:w="6820" w:type="dxa"/>
          </w:tcPr>
          <w:p w14:paraId="6BE7DB08" w14:textId="77777777" w:rsidR="00450779" w:rsidRDefault="00450779" w:rsidP="00450779"/>
        </w:tc>
      </w:tr>
      <w:tr w:rsidR="00450779" w14:paraId="56045CF1" w14:textId="77777777" w:rsidTr="00846071">
        <w:trPr>
          <w:trHeight w:val="1292"/>
        </w:trPr>
        <w:tc>
          <w:tcPr>
            <w:tcW w:w="2483" w:type="dxa"/>
          </w:tcPr>
          <w:p w14:paraId="52B11E82" w14:textId="06B6D842" w:rsidR="00450779" w:rsidRPr="00846071" w:rsidRDefault="00450779" w:rsidP="00450779">
            <w:pPr>
              <w:rPr>
                <w:sz w:val="22"/>
              </w:rPr>
            </w:pPr>
            <w:r w:rsidRPr="00846071">
              <w:rPr>
                <w:sz w:val="22"/>
              </w:rPr>
              <w:t>Where will the Noongar language</w:t>
            </w:r>
            <w:r w:rsidR="00846071">
              <w:rPr>
                <w:sz w:val="22"/>
              </w:rPr>
              <w:t xml:space="preserve"> be located or be used?</w:t>
            </w:r>
          </w:p>
        </w:tc>
        <w:tc>
          <w:tcPr>
            <w:tcW w:w="6820" w:type="dxa"/>
          </w:tcPr>
          <w:p w14:paraId="6FEC4447" w14:textId="77777777" w:rsidR="00450779" w:rsidRDefault="00450779" w:rsidP="00450779"/>
        </w:tc>
      </w:tr>
      <w:tr w:rsidR="00450779" w14:paraId="2C2242DB" w14:textId="77777777" w:rsidTr="00846071">
        <w:trPr>
          <w:trHeight w:val="1728"/>
        </w:trPr>
        <w:tc>
          <w:tcPr>
            <w:tcW w:w="2483" w:type="dxa"/>
          </w:tcPr>
          <w:p w14:paraId="006E5ADA" w14:textId="612DC0D4" w:rsidR="00450779" w:rsidRPr="00846071" w:rsidRDefault="00846071" w:rsidP="00450779">
            <w:pPr>
              <w:rPr>
                <w:sz w:val="22"/>
              </w:rPr>
            </w:pPr>
            <w:r>
              <w:rPr>
                <w:sz w:val="22"/>
              </w:rPr>
              <w:t>Background information (i.e. purpose) of Noongar language usage or activity?</w:t>
            </w:r>
          </w:p>
        </w:tc>
        <w:tc>
          <w:tcPr>
            <w:tcW w:w="6820" w:type="dxa"/>
          </w:tcPr>
          <w:p w14:paraId="24A013BF" w14:textId="77777777" w:rsidR="00450779" w:rsidRDefault="00450779" w:rsidP="00450779"/>
        </w:tc>
      </w:tr>
      <w:tr w:rsidR="00846071" w14:paraId="1F609C2F" w14:textId="77777777" w:rsidTr="00846071">
        <w:trPr>
          <w:trHeight w:val="874"/>
        </w:trPr>
        <w:tc>
          <w:tcPr>
            <w:tcW w:w="2483" w:type="dxa"/>
          </w:tcPr>
          <w:p w14:paraId="651CF484" w14:textId="178D0347" w:rsidR="00846071" w:rsidRPr="00846071" w:rsidRDefault="00846071" w:rsidP="00450779">
            <w:pPr>
              <w:rPr>
                <w:sz w:val="22"/>
              </w:rPr>
            </w:pPr>
            <w:r>
              <w:rPr>
                <w:sz w:val="22"/>
              </w:rPr>
              <w:t>Names or words to be translated</w:t>
            </w:r>
          </w:p>
        </w:tc>
        <w:tc>
          <w:tcPr>
            <w:tcW w:w="6820" w:type="dxa"/>
          </w:tcPr>
          <w:p w14:paraId="22DD505C" w14:textId="77777777" w:rsidR="00846071" w:rsidRDefault="00846071" w:rsidP="00450779"/>
        </w:tc>
      </w:tr>
      <w:tr w:rsidR="00846071" w14:paraId="5DEB7F83" w14:textId="77777777" w:rsidTr="00846071">
        <w:trPr>
          <w:trHeight w:val="2147"/>
        </w:trPr>
        <w:tc>
          <w:tcPr>
            <w:tcW w:w="2483" w:type="dxa"/>
          </w:tcPr>
          <w:p w14:paraId="26FA2ABB" w14:textId="142A4D0C" w:rsidR="00846071" w:rsidRPr="000032F4" w:rsidRDefault="00846071" w:rsidP="000032F4">
            <w:pPr>
              <w:rPr>
                <w:sz w:val="22"/>
              </w:rPr>
            </w:pPr>
            <w:r>
              <w:rPr>
                <w:sz w:val="22"/>
              </w:rPr>
              <w:t>Do you require an audio file and orthography to assist with pronunciation of the translation?</w:t>
            </w:r>
          </w:p>
        </w:tc>
        <w:tc>
          <w:tcPr>
            <w:tcW w:w="6820" w:type="dxa"/>
          </w:tcPr>
          <w:p w14:paraId="01776F0A" w14:textId="77777777" w:rsidR="00846071" w:rsidRDefault="00846071" w:rsidP="00450779"/>
        </w:tc>
      </w:tr>
      <w:tr w:rsidR="00846071" w14:paraId="2FA68407" w14:textId="77777777" w:rsidTr="00846071">
        <w:trPr>
          <w:trHeight w:val="874"/>
        </w:trPr>
        <w:tc>
          <w:tcPr>
            <w:tcW w:w="2483" w:type="dxa"/>
          </w:tcPr>
          <w:p w14:paraId="67A8B326" w14:textId="1B20B894" w:rsidR="00846071" w:rsidRPr="00846071" w:rsidRDefault="00846071" w:rsidP="00450779">
            <w:pPr>
              <w:rPr>
                <w:sz w:val="22"/>
              </w:rPr>
            </w:pPr>
            <w:r>
              <w:rPr>
                <w:sz w:val="22"/>
              </w:rPr>
              <w:t>Other comments or relevant information</w:t>
            </w:r>
          </w:p>
        </w:tc>
        <w:tc>
          <w:tcPr>
            <w:tcW w:w="6820" w:type="dxa"/>
          </w:tcPr>
          <w:p w14:paraId="4DED9CD5" w14:textId="77777777" w:rsidR="00846071" w:rsidRDefault="00846071" w:rsidP="00450779"/>
        </w:tc>
      </w:tr>
      <w:tr w:rsidR="00846071" w14:paraId="7D65E242" w14:textId="77777777" w:rsidTr="00846071">
        <w:trPr>
          <w:trHeight w:val="455"/>
        </w:trPr>
        <w:tc>
          <w:tcPr>
            <w:tcW w:w="2483" w:type="dxa"/>
          </w:tcPr>
          <w:p w14:paraId="0875D280" w14:textId="0A5BD999" w:rsidR="00846071" w:rsidRDefault="00846071" w:rsidP="00450779">
            <w:pPr>
              <w:rPr>
                <w:sz w:val="22"/>
              </w:rPr>
            </w:pPr>
            <w:r>
              <w:rPr>
                <w:sz w:val="22"/>
              </w:rPr>
              <w:t>Date of application</w:t>
            </w:r>
          </w:p>
        </w:tc>
        <w:tc>
          <w:tcPr>
            <w:tcW w:w="6820" w:type="dxa"/>
          </w:tcPr>
          <w:p w14:paraId="2B191C78" w14:textId="77777777" w:rsidR="00846071" w:rsidRDefault="00846071" w:rsidP="00450779"/>
        </w:tc>
      </w:tr>
      <w:tr w:rsidR="00450779" w14:paraId="28321B81" w14:textId="77777777" w:rsidTr="00846071">
        <w:trPr>
          <w:trHeight w:val="474"/>
        </w:trPr>
        <w:tc>
          <w:tcPr>
            <w:tcW w:w="2483" w:type="dxa"/>
          </w:tcPr>
          <w:p w14:paraId="396BA0F1" w14:textId="0C36D639" w:rsidR="00450779" w:rsidRPr="00846071" w:rsidRDefault="00846071" w:rsidP="00450779">
            <w:pPr>
              <w:rPr>
                <w:sz w:val="22"/>
              </w:rPr>
            </w:pPr>
            <w:r>
              <w:rPr>
                <w:sz w:val="22"/>
              </w:rPr>
              <w:t>Date required</w:t>
            </w:r>
          </w:p>
        </w:tc>
        <w:tc>
          <w:tcPr>
            <w:tcW w:w="6820" w:type="dxa"/>
          </w:tcPr>
          <w:p w14:paraId="710A036B" w14:textId="77777777" w:rsidR="00450779" w:rsidRDefault="00450779" w:rsidP="00450779"/>
        </w:tc>
      </w:tr>
    </w:tbl>
    <w:p w14:paraId="6A0036F3" w14:textId="77777777" w:rsidR="00450779" w:rsidRDefault="00450779" w:rsidP="00450779"/>
    <w:p w14:paraId="455CF572" w14:textId="77777777" w:rsidR="00055CA9" w:rsidRDefault="00055CA9" w:rsidP="00055CA9"/>
    <w:sectPr w:rsidR="00055CA9" w:rsidSect="001A61C6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73342" w14:textId="77777777" w:rsidR="004149A2" w:rsidRDefault="004149A2" w:rsidP="00950E1F">
      <w:r>
        <w:separator/>
      </w:r>
    </w:p>
  </w:endnote>
  <w:endnote w:type="continuationSeparator" w:id="0">
    <w:p w14:paraId="70DD2EEF" w14:textId="77777777" w:rsidR="004149A2" w:rsidRDefault="004149A2" w:rsidP="0095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0A1B3" w14:textId="0BE4BAEC" w:rsidR="00950E1F" w:rsidRDefault="00950E1F" w:rsidP="00950E1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9B7DD" wp14:editId="2F2E659D">
          <wp:simplePos x="0" y="0"/>
          <wp:positionH relativeFrom="column">
            <wp:posOffset>5124971</wp:posOffset>
          </wp:positionH>
          <wp:positionV relativeFrom="paragraph">
            <wp:posOffset>137180</wp:posOffset>
          </wp:positionV>
          <wp:extent cx="929005" cy="6546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00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Noongar Boodjar Language Centre</w:t>
    </w:r>
  </w:p>
  <w:p w14:paraId="6FF0C54F" w14:textId="18DF15F2" w:rsidR="00950E1F" w:rsidRDefault="00950E1F">
    <w:pPr>
      <w:pStyle w:val="Footer"/>
    </w:pPr>
    <w:r>
      <w:t>Unit 3/12 Burton Street Cannington</w:t>
    </w:r>
  </w:p>
  <w:p w14:paraId="6B0D0EEC" w14:textId="19A04692" w:rsidR="00950E1F" w:rsidRDefault="00950E1F">
    <w:pPr>
      <w:pStyle w:val="Footer"/>
    </w:pPr>
    <w:r>
      <w:t>PO box 269 Bentley</w:t>
    </w:r>
  </w:p>
  <w:p w14:paraId="046E711A" w14:textId="6C781B07" w:rsidR="00950E1F" w:rsidRDefault="00950E1F">
    <w:pPr>
      <w:pStyle w:val="Footer"/>
    </w:pPr>
    <w:r>
      <w:t>Ph:</w:t>
    </w:r>
    <w:r w:rsidR="009F422F">
      <w:t xml:space="preserve"> 9350 5026</w:t>
    </w:r>
    <w:r w:rsidR="00651B13">
      <w:t xml:space="preserve">  or  0484 330 020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6D6FD" w14:textId="77777777" w:rsidR="004149A2" w:rsidRDefault="004149A2" w:rsidP="00950E1F">
      <w:r>
        <w:separator/>
      </w:r>
    </w:p>
  </w:footnote>
  <w:footnote w:type="continuationSeparator" w:id="0">
    <w:p w14:paraId="773DBDEF" w14:textId="77777777" w:rsidR="004149A2" w:rsidRDefault="004149A2" w:rsidP="00950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BBE16" w14:textId="74B923C0" w:rsidR="00450779" w:rsidRPr="00950E1F" w:rsidRDefault="00450779" w:rsidP="00450779">
    <w:pPr>
      <w:jc w:val="center"/>
      <w:rPr>
        <w:b/>
        <w:color w:val="1F3864" w:themeColor="accent1" w:themeShade="80"/>
        <w:sz w:val="32"/>
        <w:u w:val="single"/>
      </w:rPr>
    </w:pPr>
    <w:r w:rsidRPr="00950E1F">
      <w:rPr>
        <w:b/>
        <w:color w:val="1F3864" w:themeColor="accent1" w:themeShade="80"/>
        <w:sz w:val="32"/>
        <w:u w:val="single"/>
      </w:rPr>
      <w:t xml:space="preserve">Noongar </w:t>
    </w:r>
    <w:r w:rsidR="00793E12">
      <w:rPr>
        <w:b/>
        <w:color w:val="1F3864" w:themeColor="accent1" w:themeShade="80"/>
        <w:sz w:val="32"/>
        <w:u w:val="single"/>
      </w:rPr>
      <w:t xml:space="preserve">Language </w:t>
    </w:r>
    <w:r w:rsidRPr="00950E1F">
      <w:rPr>
        <w:b/>
        <w:color w:val="1F3864" w:themeColor="accent1" w:themeShade="80"/>
        <w:sz w:val="32"/>
        <w:u w:val="single"/>
      </w:rPr>
      <w:t>/ Activity request form</w:t>
    </w:r>
  </w:p>
  <w:p w14:paraId="02E845B3" w14:textId="77777777" w:rsidR="00450779" w:rsidRDefault="00450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F1D15"/>
    <w:multiLevelType w:val="hybridMultilevel"/>
    <w:tmpl w:val="E7A8D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89222C"/>
    <w:multiLevelType w:val="hybridMultilevel"/>
    <w:tmpl w:val="4F18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B1FC6"/>
    <w:multiLevelType w:val="hybridMultilevel"/>
    <w:tmpl w:val="6294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F"/>
    <w:rsid w:val="000032F4"/>
    <w:rsid w:val="00043A53"/>
    <w:rsid w:val="00055CA9"/>
    <w:rsid w:val="00083061"/>
    <w:rsid w:val="000C4466"/>
    <w:rsid w:val="001A61C6"/>
    <w:rsid w:val="003D6C05"/>
    <w:rsid w:val="004149A2"/>
    <w:rsid w:val="00450779"/>
    <w:rsid w:val="004A51C3"/>
    <w:rsid w:val="004F33E7"/>
    <w:rsid w:val="004F4DDC"/>
    <w:rsid w:val="00570B5F"/>
    <w:rsid w:val="00651B13"/>
    <w:rsid w:val="0068511D"/>
    <w:rsid w:val="006B35AD"/>
    <w:rsid w:val="00793E12"/>
    <w:rsid w:val="007B0EA3"/>
    <w:rsid w:val="00846071"/>
    <w:rsid w:val="008948D6"/>
    <w:rsid w:val="00950E1F"/>
    <w:rsid w:val="009F422F"/>
    <w:rsid w:val="00C7304C"/>
    <w:rsid w:val="00D96CC7"/>
    <w:rsid w:val="00E3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19CD14"/>
  <w15:chartTrackingRefBased/>
  <w15:docId w15:val="{1B53F09D-459B-A840-9548-12F33426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C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C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0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E1F"/>
  </w:style>
  <w:style w:type="paragraph" w:styleId="Footer">
    <w:name w:val="footer"/>
    <w:basedOn w:val="Normal"/>
    <w:link w:val="FooterChar"/>
    <w:uiPriority w:val="99"/>
    <w:unhideWhenUsed/>
    <w:rsid w:val="00950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E1F"/>
  </w:style>
  <w:style w:type="table" w:styleId="TableGrid">
    <w:name w:val="Table Grid"/>
    <w:basedOn w:val="TableNormal"/>
    <w:uiPriority w:val="39"/>
    <w:rsid w:val="0045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balc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nbalc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 | Bunbury Auto Group</cp:lastModifiedBy>
  <cp:revision>2</cp:revision>
  <dcterms:created xsi:type="dcterms:W3CDTF">2019-11-20T05:12:00Z</dcterms:created>
  <dcterms:modified xsi:type="dcterms:W3CDTF">2019-11-20T05:12:00Z</dcterms:modified>
</cp:coreProperties>
</file>